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amentations-2"/>
    <w:p>
      <w:pPr>
        <w:pStyle w:val="Heading1"/>
      </w:pPr>
      <w:r>
        <w:t xml:space="preserve">Homiletics Analysis: Lamentations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Lamentations as a Whole:</w:t>
      </w:r>
      <w:r>
        <w:t xml:space="preserve"> </w:t>
      </w:r>
      <w:r>
        <w:t xml:space="preserve">Lamentations is a collection of five acrostic or near-acrostic poems composed in the immediate aftermath of Jerusalem’s fall to Babylon in 586 B.C. The book moves through raw grief, theological reckoning, a brief but sustained turn toward hope (chapter 3), and a final prayer of uncertain resolution (chapter 5). Chapter 2 occupies a pivotal position: if chapter 1 is the survivor’s first cry over the ruins, chapter 2 is the poet’s unflinching theological confrontation with what has happened. The broader unit (chapters 1–2) establishes the catastrophe and its divine cause before chapter 3 ventures toward lament’s turning point. Chapter 2 is indispensable to the whole because it refuses to allow the disaster to be explained away as mere political misfortune or Babylonian military superiority.</w:t>
      </w:r>
    </w:p>
    <w:p>
      <w:pPr>
        <w:pStyle w:val="BodyText"/>
      </w:pPr>
      <w:r>
        <w:rPr>
          <w:b/>
          <w:bCs/>
        </w:rPr>
        <w:t xml:space="preserve">This Text — Content:</w:t>
      </w:r>
      <w:r>
        <w:t xml:space="preserve"> </w:t>
      </w:r>
      <w:r>
        <w:t xml:space="preserve">Lamentations 2 is a twenty-two-stanza acrostic poem (one stanza per letter of the Hebrew alphabet) in which the poet — functioning as a kind of prophetic witness — describes Jerusalem’s destruction by systematically attributing it not to Babylon but to the LORD. The chapter opens with the divine name and the divine action:</w:t>
      </w:r>
      <w:r>
        <w:t xml:space="preserve"> </w:t>
      </w:r>
      <w:r>
        <w:t xml:space="preserve">“How the Lord has covered the daughter of Zion with the cloud of his anger!”</w:t>
      </w:r>
      <w:r>
        <w:t xml:space="preserve"> </w:t>
      </w:r>
      <w:r>
        <w:t xml:space="preserve">(2:1). The first half of the chapter (vv. 1–10) is a relentless catalog of what the LORD has done: He has swallowed up, broken down, cut off, burned, bent His bow, poured out His wrath, rejected His altar, abandoned His sanctuary. The city’s walls, gates, bars, king, princes, prophets, and elders all fall. The second movement (vv. 11–19) shifts to the poet’s own anguished response — his eyes fail, his stomach churns, his heart is poured out — as he surveys the starving children in the streets and the mothers who cannot feed them. He confronts the false prophets who failed to expose the city’s sin (v. 14) and contrasts them with the enemies who mock and the LORD who has fulfilled His threatened word (vv. 15–17). The chapter closes (vv. 18–22) with a double summons: the city’s wall should cry out to the LORD, and the poet calls Zion to rise in the night watches and pour out her heart like water before God. The final verses (vv. 20–22) record Zion’s anguished cry —</w:t>
      </w:r>
      <w:r>
        <w:t xml:space="preserve"> </w:t>
      </w:r>
      <w:r>
        <w:t xml:space="preserve">“Look, O LORD, and see! With whom have You dealt thus?”</w:t>
      </w:r>
      <w:r>
        <w:t xml:space="preserve"> </w:t>
      </w:r>
      <w:r>
        <w:t xml:space="preserve">— culminating in the haunting image of the LORD’s anger on the day of His appointed feast consuming even those mothers had borne and reared.</w:t>
      </w:r>
    </w:p>
    <w:p>
      <w:pPr>
        <w:pStyle w:val="BodyText"/>
      </w:pPr>
      <w:r>
        <w:rPr>
          <w:b/>
          <w:bCs/>
        </w:rPr>
        <w:t xml:space="preserve">This Text — Intent:</w:t>
      </w:r>
      <w:r>
        <w:t xml:space="preserve"> </w:t>
      </w:r>
      <w:r>
        <w:t xml:space="preserve">God’s intent through Lamentations 2 is not primarily to terrify or to moralize but to compel theological honesty as the only ground on which genuine lament — and ultimately genuine hope — can stand. The chapter refuses to let the disaster remain uninterpreted. It drives the reader to name the LORD as the agent of judgment so that the cry that follows can be addressed to the right party. The intended effect is not despair but truthful, direct, unashamed address to God — the kind of prayer that does not sanitize either the suffering or the divine action behind it. The chapter invites, even commands, the reader to bring the full weight of her grief, theologically grounded and honestly expressed, directly to the LORD. This is not the end of faith; it is faith operating under the most extreme pressure the Old Testament knows.</w:t>
      </w:r>
    </w:p>
    <w:p>
      <w:r>
        <w:pict>
          <v:rect style="width:0;height:1.5pt" o:hralign="center" o:hrstd="t" o:hr="t"/>
        </w:pict>
      </w:r>
    </w:p>
    <w:p>
      <w:pPr>
        <w:pStyle w:val="FirstParagraph"/>
      </w:pPr>
      <w:r>
        <w:rPr>
          <w:b/>
          <w:bCs/>
        </w:rPr>
        <w:t xml:space="preserve">Subject Sentence:</w:t>
      </w:r>
      <w:r>
        <w:t xml:space="preserve"> </w:t>
      </w:r>
      <w:r>
        <w:t xml:space="preserve">The LORD Himself has brought the judgment — and must Himself become the only refuge left.</w:t>
      </w:r>
    </w:p>
    <w:p>
      <w:r>
        <w:pict>
          <v:rect style="width:0;height:1.5pt" o:hralign="center" o:hrstd="t" o:hr="t"/>
        </w:pict>
      </w:r>
    </w:p>
    <w:p>
      <w:pPr>
        <w:pStyle w:val="FirstParagraph"/>
      </w:pPr>
      <w:r>
        <w:rPr>
          <w:b/>
          <w:bCs/>
        </w:rPr>
        <w:t xml:space="preserve">Primary Claim:</w:t>
      </w:r>
      <w:r>
        <w:t xml:space="preserve"> </w:t>
      </w:r>
      <w:r>
        <w:t xml:space="preserve">God draws His people through the shattering recognition that He is the agent of their judgment so that, with nowhere else to turn, they address their full and honest grief directly to Him — and find that He is precisely the One who receives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attribution of disaster to God:</w:t>
      </w:r>
      <w:r>
        <w:t xml:space="preserve"> </w:t>
      </w:r>
      <w:r>
        <w:t xml:space="preserve">The most consequential interpretive issue in Lamentations 2 is the poem’s unrelenting insistence that the LORD — not Babylon, not geopolitical forces, not bad luck — has done this. Some readers, particularly those shaped by open theism or by a therapeutic therapeutic framework that resists the idea of God as the source of suffering, soften this attribution. They read</w:t>
      </w:r>
      <w:r>
        <w:t xml:space="preserve"> </w:t>
      </w:r>
      <w:r>
        <w:t xml:space="preserve">“the LORD”</w:t>
      </w:r>
      <w:r>
        <w:t xml:space="preserve"> </w:t>
      </w:r>
      <w:r>
        <w:t xml:space="preserve">as a secondary or permissive cause, with Babylon as the real agent. The text does not permit this. The verbs are direct and relentless: the LORD has swallowed up (v. 2), the LORD has destroyed (v. 2), the LORD has cut down (v. 3), the LORD has bent His bow (v. 4), the LORD has poured out His wrath (v. 4). The poet is doing this deliberately — the acrostic form signals sustained, disciplined composition, not emotional blurting. The attribution is not incidental; it is the theological argument. To soften it is to destroy the chapter’s logic: if God is not the agent, there is no one to cry to, no one who can restore, no one whose covenant still governs the catastrophe. The Reformed verdict is that the text’s direct attribution of judgment to divine action is not only permitted but necessary — God’s sovereignty over catastrophe is the very thing that makes genuine lament possible.</w:t>
      </w:r>
    </w:p>
    <w:p>
      <w:pPr>
        <w:pStyle w:val="BodyText"/>
      </w:pPr>
      <w:r>
        <w:rPr>
          <w:b/>
          <w:bCs/>
        </w:rPr>
        <w:t xml:space="preserve">Lament as loss of faith vs. lament as faith under pressure:</w:t>
      </w:r>
      <w:r>
        <w:t xml:space="preserve"> </w:t>
      </w:r>
      <w:r>
        <w:t xml:space="preserve">A second interpretive issue is whether the raw grief and the accusations of this chapter — including Zion’s direct address</w:t>
      </w:r>
      <w:r>
        <w:t xml:space="preserve"> </w:t>
      </w:r>
      <w:r>
        <w:t xml:space="preserve">“Look, O LORD, and see! With whom have You dealt thus?”</w:t>
      </w:r>
      <w:r>
        <w:t xml:space="preserve"> </w:t>
      </w:r>
      <w:r>
        <w:t xml:space="preserve">(v. 20) — represent a crisis or even a collapse of faith. Wesleyan and Arminian interpreters sometimes read the laments as evidence of the fragility of divine-human relationship — the covenant strained to near-breaking. Dispensational interpreters sometimes treat the passage as uniquely applicable to ethnic Israel’s future tribulation, which risks quarantining its emotional and theological force from present-day application. The Reformed reading holds that lament is not the opposite of faith but faith’s most honest form under suffering. The Psalms, Job, Jeremiah, and Habakkuk all confirm that direct, accusatory address to God is not faithlessness but its intensification. The chapter is not Zion losing her faith; it is Zion exercising it in the only form available to her. Quarantining the passage to ethnic-national Israel loses both its pastoral urgency and its canonical integration with the lament Psalter.</w:t>
      </w:r>
    </w:p>
    <w:p>
      <w:pPr>
        <w:pStyle w:val="BodyText"/>
      </w:pPr>
      <w:r>
        <w:rPr>
          <w:b/>
          <w:bCs/>
        </w:rPr>
        <w:t xml:space="preserve">The false prophets (v. 14):</w:t>
      </w:r>
      <w:r>
        <w:t xml:space="preserve"> </w:t>
      </w:r>
      <w:r>
        <w:t xml:space="preserve">Verse 14 indicts the prophets who</w:t>
      </w:r>
      <w:r>
        <w:t xml:space="preserve"> </w:t>
      </w:r>
      <w:r>
        <w:t xml:space="preserve">“saw for you false and deceptive visions; they did not expose your iniquity.”</w:t>
      </w:r>
      <w:r>
        <w:t xml:space="preserve"> </w:t>
      </w:r>
      <w:r>
        <w:t xml:space="preserve">Some readers treat this as a minor sub-theme. The Reformed tradition rightly elevates it: the failure of faithful preaching is presented as a contributing cause of the catastrophe. Prophets who comfort without confronting sin do not love the people — they destroy them. This has direct homiletical relevance and should not be passed over. The text qualifies any application that makes Lamentations 2 only about theodicy or emotional permission — it is also a sober warning about what happens when the Word is suppressed.</w:t>
      </w:r>
    </w:p>
    <w:p>
      <w:pPr>
        <w:pStyle w:val="BodyText"/>
      </w:pPr>
      <w:r>
        <w:rPr>
          <w:b/>
          <w:bCs/>
        </w:rPr>
        <w:t xml:space="preserve">The Reformed verdict:</w:t>
      </w:r>
      <w:r>
        <w:t xml:space="preserve"> </w:t>
      </w:r>
      <w:r>
        <w:t xml:space="preserve">The LORD is the sovereign agent of judgment; lament addressed directly to Him is faith, not its failure; and the failure of faithful preaching is a genuine moral and theological cause of covenant disaster. These three claims together constitute the chapter’s full weight.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curses that Moses set before Israel; Lamentations 2 is the historical arrival of what Deuteronomy 28 threatened. The LORD’s actions in Lamentations 2 are not arbitrary — they are covenantally determined.</w:t>
      </w:r>
      <w:r>
        <w:t xml:space="preserve"> </w:t>
      </w:r>
      <w:r>
        <w:t xml:space="preserve">“The LORD will bring a nation against you from far away”</w:t>
      </w:r>
      <w:r>
        <w:t xml:space="preserve"> </w:t>
      </w:r>
      <w:r>
        <w:t xml:space="preserve">(Deut. 28:49) is now a caption beneath the ruins of Jerusalem.</w:t>
      </w:r>
    </w:p>
    <w:p>
      <w:pPr>
        <w:numPr>
          <w:ilvl w:val="0"/>
          <w:numId w:val="1001"/>
        </w:numPr>
      </w:pPr>
      <w:r>
        <w:rPr>
          <w:b/>
          <w:bCs/>
        </w:rPr>
        <w:t xml:space="preserve">Psalm 88</w:t>
      </w:r>
      <w:r>
        <w:t xml:space="preserve"> </w:t>
      </w:r>
      <w:r>
        <w:t xml:space="preserve">— The darkest of the lament Psalms, which ends without resolution, offering no comfort and no final affirmation — only address to God in the dark. Canonical confirmation that unresolved lament directed at God is a legitimate, even God-ordained, form of prayer.</w:t>
      </w:r>
    </w:p>
    <w:p>
      <w:pPr>
        <w:numPr>
          <w:ilvl w:val="0"/>
          <w:numId w:val="1001"/>
        </w:numPr>
      </w:pPr>
      <w:r>
        <w:rPr>
          <w:b/>
          <w:bCs/>
        </w:rPr>
        <w:t xml:space="preserve">Jeremiah 4:19–22; 9:1</w:t>
      </w:r>
      <w:r>
        <w:t xml:space="preserve"> </w:t>
      </w:r>
      <w:r>
        <w:t xml:space="preserve">— Jeremiah’s own</w:t>
      </w:r>
      <w:r>
        <w:t xml:space="preserve"> </w:t>
      </w:r>
      <w:r>
        <w:t xml:space="preserve">“my anguish, my anguish”</w:t>
      </w:r>
      <w:r>
        <w:t xml:space="preserve"> </w:t>
      </w:r>
      <w:r>
        <w:t xml:space="preserve">and his wish that his eyes were a fountain of tears echo the poet’s visceral grief in Lamentations 2:11. The prophetic tradition of anguished witness to covenant catastrophe is not emotional excess — it is faithful ministry.</w:t>
      </w:r>
    </w:p>
    <w:p>
      <w:pPr>
        <w:numPr>
          <w:ilvl w:val="0"/>
          <w:numId w:val="1001"/>
        </w:numPr>
      </w:pPr>
      <w:r>
        <w:rPr>
          <w:b/>
          <w:bCs/>
        </w:rPr>
        <w:t xml:space="preserve">Isaiah 54:7–8</w:t>
      </w:r>
      <w:r>
        <w:t xml:space="preserve"> </w:t>
      </w:r>
      <w:r>
        <w:t xml:space="preserve">—</w:t>
      </w:r>
      <w:r>
        <w:t xml:space="preserve"> </w:t>
      </w:r>
      <w:r>
        <w:t xml:space="preserve">“For a brief moment I deserted you, but with great compassion I will gather you. In overflowing anger for a moment I hid my face from you, but with everlasting love I will have compassion on you.”</w:t>
      </w:r>
      <w:r>
        <w:t xml:space="preserve"> </w:t>
      </w:r>
      <w:r>
        <w:t xml:space="preserve">The same divine anger that Lamentations 2 describes is bounded by something the poet in chapter 2 cannot yet see — the compassion behind the judgment. This canonical support does not dissolve Lamentations 2’s grief; it grounds the hope toward which lament reaches.</w:t>
      </w:r>
    </w:p>
    <w:p>
      <w:pPr>
        <w:numPr>
          <w:ilvl w:val="0"/>
          <w:numId w:val="1001"/>
        </w:numPr>
      </w:pPr>
      <w:r>
        <w:rPr>
          <w:b/>
          <w:bCs/>
        </w:rPr>
        <w:t xml:space="preserve">Hebrews 12:5–11</w:t>
      </w:r>
      <w:r>
        <w:t xml:space="preserve"> </w:t>
      </w:r>
      <w:r>
        <w:t xml:space="preserve">— The New Testament’s most direct engagement with divine discipline:</w:t>
      </w:r>
      <w:r>
        <w:t xml:space="preserve"> </w:t>
      </w:r>
      <w:r>
        <w:t xml:space="preserve">“The Lord disciplines the one He loves.”</w:t>
      </w:r>
      <w:r>
        <w:t xml:space="preserve"> </w:t>
      </w:r>
      <w:r>
        <w:t xml:space="preserve">Lamentations 2 is a case study of this principle at national scale. The discipline is real, it is severe, it is from the Father — and it is purposive. This connection does not cheapen the grief but provides its ultimate theological frame.</w:t>
      </w:r>
    </w:p>
    <w:p>
      <w:r>
        <w:pict>
          <v:rect style="width:0;height:1.5pt" o:hralign="center" o:hrstd="t" o:hr="t"/>
        </w:pict>
      </w:r>
    </w:p>
    <w:p>
      <w:pPr>
        <w:pStyle w:val="FirstParagraph"/>
      </w:pPr>
      <w:r>
        <w:rPr>
          <w:b/>
          <w:bCs/>
        </w:rPr>
        <w:t xml:space="preserve">Aim:</w:t>
      </w:r>
      <w:r>
        <w:t xml:space="preserve"> </w:t>
      </w:r>
      <w:r>
        <w:t xml:space="preserve">To call the reader to theological honesty about both the source of her suffering and the only legitimate destination of her grief — and to demonstrate that God receives exactly this kind of direct, unfiltered address.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The LORD has covered Zion with His anger; cast down her splendor from heaven; not remembered His footstool in the day of His anger</w:t>
            </w:r>
          </w:p>
        </w:tc>
        <w:tc>
          <w:tcPr/>
          <w:p>
            <w:pPr>
              <w:pStyle w:val="Compact"/>
            </w:pPr>
            <w:r>
              <w:t xml:space="preserve">Opens with</w:t>
            </w:r>
            <w:r>
              <w:t xml:space="preserve"> </w:t>
            </w:r>
            <w:r>
              <w:t xml:space="preserve">“How”</w:t>
            </w:r>
            <w:r>
              <w:t xml:space="preserve"> </w:t>
            </w:r>
            <w:r>
              <w:t xml:space="preserve">(</w:t>
            </w:r>
            <w:r>
              <w:rPr>
                <w:i/>
                <w:iCs/>
              </w:rPr>
              <w:t xml:space="preserve">’êkāh</w:t>
            </w:r>
            <w:r>
              <w:t xml:space="preserve">) — same as 1:1; the LORD named immediately as agent;</w:t>
            </w:r>
            <w:r>
              <w:t xml:space="preserve"> </w:t>
            </w:r>
            <w:r>
              <w:t xml:space="preserve">“footstool”</w:t>
            </w:r>
            <w:r>
              <w:t xml:space="preserve"> </w:t>
            </w:r>
            <w:r>
              <w:t xml:space="preserve">= the temple/ark</w:t>
            </w:r>
          </w:p>
        </w:tc>
      </w:tr>
      <w:tr>
        <w:tc>
          <w:tcPr/>
          <w:p>
            <w:pPr>
              <w:pStyle w:val="Compact"/>
            </w:pPr>
            <w:r>
              <w:t xml:space="preserve">2:2</w:t>
            </w:r>
          </w:p>
        </w:tc>
        <w:tc>
          <w:tcPr/>
          <w:p>
            <w:pPr>
              <w:pStyle w:val="Compact"/>
            </w:pPr>
            <w:r>
              <w:t xml:space="preserve">The LORD has swallowed up without mercy all the habitations of Jacob; broken down the strongholds of Judah; brought them down to the ground</w:t>
            </w:r>
          </w:p>
        </w:tc>
        <w:tc>
          <w:tcPr/>
          <w:p>
            <w:pPr>
              <w:pStyle w:val="Compact"/>
            </w:pPr>
            <w:r>
              <w:t xml:space="preserve">“Without mercy”</w:t>
            </w:r>
            <w:r>
              <w:t xml:space="preserve"> </w:t>
            </w:r>
            <w:r>
              <w:t xml:space="preserve">— a refrain that intensifies the divine action; no mitigation offered</w:t>
            </w:r>
          </w:p>
        </w:tc>
      </w:tr>
      <w:tr>
        <w:tc>
          <w:tcPr/>
          <w:p>
            <w:pPr>
              <w:pStyle w:val="Compact"/>
            </w:pPr>
            <w:r>
              <w:t xml:space="preserve">2:3</w:t>
            </w:r>
          </w:p>
        </w:tc>
        <w:tc>
          <w:tcPr/>
          <w:p>
            <w:pPr>
              <w:pStyle w:val="Compact"/>
            </w:pPr>
            <w:r>
              <w:t xml:space="preserve">Cut off every horn of Israel; withdrawn His right hand; burned against Jacob like a flaming fire</w:t>
            </w:r>
          </w:p>
        </w:tc>
        <w:tc>
          <w:tcPr/>
          <w:p>
            <w:pPr>
              <w:pStyle w:val="Compact"/>
            </w:pPr>
            <w:r>
              <w:t xml:space="preserve">“Horn”</w:t>
            </w:r>
            <w:r>
              <w:t xml:space="preserve"> </w:t>
            </w:r>
            <w:r>
              <w:t xml:space="preserve">= strength/power; the right hand of protection now withheld</w:t>
            </w:r>
          </w:p>
        </w:tc>
      </w:tr>
      <w:tr>
        <w:tc>
          <w:tcPr/>
          <w:p>
            <w:pPr>
              <w:pStyle w:val="Compact"/>
            </w:pPr>
            <w:r>
              <w:t xml:space="preserve">2:4</w:t>
            </w:r>
          </w:p>
        </w:tc>
        <w:tc>
          <w:tcPr/>
          <w:p>
            <w:pPr>
              <w:pStyle w:val="Compact"/>
            </w:pPr>
            <w:r>
              <w:t xml:space="preserve">The LORD has bent His bow like an enemy; His right hand set against Zion; poured out His wrath like fire</w:t>
            </w:r>
          </w:p>
        </w:tc>
        <w:tc>
          <w:tcPr/>
          <w:p>
            <w:pPr>
              <w:pStyle w:val="Compact"/>
            </w:pPr>
            <w:r>
              <w:t xml:space="preserve">The LORD depicted as an enemy warrior — the most shocking image in the poem</w:t>
            </w:r>
          </w:p>
        </w:tc>
      </w:tr>
      <w:tr>
        <w:tc>
          <w:tcPr/>
          <w:p>
            <w:pPr>
              <w:pStyle w:val="Compact"/>
            </w:pPr>
            <w:r>
              <w:t xml:space="preserve">2:5</w:t>
            </w:r>
          </w:p>
        </w:tc>
        <w:tc>
          <w:tcPr/>
          <w:p>
            <w:pPr>
              <w:pStyle w:val="Compact"/>
            </w:pPr>
            <w:r>
              <w:t xml:space="preserve">The LORD has become like an enemy: swallowed up Israel, swallowed up all her palaces, destroyed her strongholds; multiplied mourning and lamentation</w:t>
            </w:r>
          </w:p>
        </w:tc>
        <w:tc>
          <w:tcPr/>
          <w:p>
            <w:pPr>
              <w:pStyle w:val="Compact"/>
            </w:pPr>
            <w:r>
              <w:t xml:space="preserve">“Like an enemy”</w:t>
            </w:r>
            <w:r>
              <w:t xml:space="preserve"> </w:t>
            </w:r>
            <w:r>
              <w:t xml:space="preserve">now explicit — the phrase that governs the chapter’s opening movement</w:t>
            </w:r>
          </w:p>
        </w:tc>
      </w:tr>
      <w:tr>
        <w:tc>
          <w:tcPr/>
          <w:p>
            <w:pPr>
              <w:pStyle w:val="Compact"/>
            </w:pPr>
            <w:r>
              <w:t xml:space="preserve">2:6</w:t>
            </w:r>
          </w:p>
        </w:tc>
        <w:tc>
          <w:tcPr/>
          <w:p>
            <w:pPr>
              <w:pStyle w:val="Compact"/>
            </w:pPr>
            <w:r>
              <w:t xml:space="preserve">He has laid waste His booth like a garden, destroyed His meeting place; caused appointed feasts and Sabbaths to be forgotten; spurned king and priest</w:t>
            </w:r>
          </w:p>
        </w:tc>
        <w:tc>
          <w:tcPr/>
          <w:p>
            <w:pPr>
              <w:pStyle w:val="Compact"/>
            </w:pPr>
            <w:r>
              <w:t xml:space="preserve">The worship calendar undone; the covenant institutions voided</w:t>
            </w:r>
          </w:p>
        </w:tc>
      </w:tr>
      <w:tr>
        <w:tc>
          <w:tcPr/>
          <w:p>
            <w:pPr>
              <w:pStyle w:val="Compact"/>
            </w:pPr>
            <w:r>
              <w:t xml:space="preserve">2:7</w:t>
            </w:r>
          </w:p>
        </w:tc>
        <w:tc>
          <w:tcPr/>
          <w:p>
            <w:pPr>
              <w:pStyle w:val="Compact"/>
            </w:pPr>
            <w:r>
              <w:t xml:space="preserve">The LORD has scorned His altar, disowned His sanctuary; delivered the walls of her palaces into the hands of the enemy</w:t>
            </w:r>
          </w:p>
        </w:tc>
        <w:tc>
          <w:tcPr/>
          <w:p>
            <w:pPr>
              <w:pStyle w:val="Compact"/>
            </w:pPr>
            <w:r>
              <w:t xml:space="preserve">God Himself hands His own house to the destroyers</w:t>
            </w:r>
          </w:p>
        </w:tc>
      </w:tr>
      <w:tr>
        <w:tc>
          <w:tcPr/>
          <w:p>
            <w:pPr>
              <w:pStyle w:val="Compact"/>
            </w:pPr>
            <w:r>
              <w:t xml:space="preserve">2:8</w:t>
            </w:r>
          </w:p>
        </w:tc>
        <w:tc>
          <w:tcPr/>
          <w:p>
            <w:pPr>
              <w:pStyle w:val="Compact"/>
            </w:pPr>
            <w:r>
              <w:t xml:space="preserve">The LORD determined to destroy the wall of daughter Zion; stretched out the measuring line; His hand brought mourning; rampart and wall lament together</w:t>
            </w:r>
          </w:p>
        </w:tc>
        <w:tc>
          <w:tcPr/>
          <w:p>
            <w:pPr>
              <w:pStyle w:val="Compact"/>
            </w:pPr>
            <w:r>
              <w:t xml:space="preserve">The</w:t>
            </w:r>
            <w:r>
              <w:t xml:space="preserve"> </w:t>
            </w:r>
            <w:r>
              <w:t xml:space="preserve">“measuring line”</w:t>
            </w:r>
            <w:r>
              <w:t xml:space="preserve"> </w:t>
            </w:r>
            <w:r>
              <w:t xml:space="preserve">= deliberate, planned demolition — not reactive anger</w:t>
            </w:r>
          </w:p>
        </w:tc>
      </w:tr>
      <w:tr>
        <w:tc>
          <w:tcPr/>
          <w:p>
            <w:pPr>
              <w:pStyle w:val="Compact"/>
            </w:pPr>
            <w:r>
              <w:t xml:space="preserve">2:9</w:t>
            </w:r>
          </w:p>
        </w:tc>
        <w:tc>
          <w:tcPr/>
          <w:p>
            <w:pPr>
              <w:pStyle w:val="Compact"/>
            </w:pPr>
            <w:r>
              <w:t xml:space="preserve">Gates sunk into the ground; bars destroyed; king and princes among the nations; law is no more; prophets find no vision</w:t>
            </w:r>
          </w:p>
        </w:tc>
        <w:tc>
          <w:tcPr/>
          <w:p>
            <w:pPr>
              <w:pStyle w:val="Compact"/>
            </w:pPr>
            <w:r>
              <w:t xml:space="preserve">Political, legal, and prophetic structures all dissolved</w:t>
            </w:r>
          </w:p>
        </w:tc>
      </w:tr>
      <w:tr>
        <w:tc>
          <w:tcPr/>
          <w:p>
            <w:pPr>
              <w:pStyle w:val="Compact"/>
            </w:pPr>
            <w:r>
              <w:t xml:space="preserve">2:10</w:t>
            </w:r>
          </w:p>
        </w:tc>
        <w:tc>
          <w:tcPr/>
          <w:p>
            <w:pPr>
              <w:pStyle w:val="Compact"/>
            </w:pPr>
            <w:r>
              <w:t xml:space="preserve">Elders sit on the ground in silence; virgins bow their heads; young women of Jerusalem cover their heads with ashes</w:t>
            </w:r>
          </w:p>
        </w:tc>
        <w:tc>
          <w:tcPr/>
          <w:p>
            <w:pPr>
              <w:pStyle w:val="Compact"/>
            </w:pPr>
            <w:r>
              <w:t xml:space="preserve">The city’s leaders and daughters reduced to mourning postures; silence where speech once was</w:t>
            </w:r>
          </w:p>
        </w:tc>
      </w:tr>
      <w:tr>
        <w:tc>
          <w:tcPr/>
          <w:p>
            <w:pPr>
              <w:pStyle w:val="Compact"/>
            </w:pPr>
            <w:r>
              <w:t xml:space="preserve">2:11</w:t>
            </w:r>
          </w:p>
        </w:tc>
        <w:tc>
          <w:tcPr/>
          <w:p>
            <w:pPr>
              <w:pStyle w:val="Compact"/>
            </w:pPr>
            <w:r>
              <w:t xml:space="preserve">“My eyes are spent with weeping; my stomach churns; my bile is poured out”</w:t>
            </w:r>
            <w:r>
              <w:t xml:space="preserve"> </w:t>
            </w:r>
            <w:r>
              <w:t xml:space="preserve">— children and infants faint in the streets</w:t>
            </w:r>
          </w:p>
        </w:tc>
        <w:tc>
          <w:tcPr/>
          <w:p>
            <w:pPr>
              <w:pStyle w:val="Compact"/>
            </w:pPr>
            <w:r>
              <w:t xml:space="preserve">The poet’s first-person eruption; visceral physical grief</w:t>
            </w:r>
          </w:p>
        </w:tc>
      </w:tr>
      <w:tr>
        <w:tc>
          <w:tcPr/>
          <w:p>
            <w:pPr>
              <w:pStyle w:val="Compact"/>
            </w:pPr>
            <w:r>
              <w:t xml:space="preserve">2:12</w:t>
            </w:r>
          </w:p>
        </w:tc>
        <w:tc>
          <w:tcPr/>
          <w:p>
            <w:pPr>
              <w:pStyle w:val="Compact"/>
            </w:pPr>
            <w:r>
              <w:t xml:space="preserve">Children cry to their mothers,</w:t>
            </w:r>
            <w:r>
              <w:t xml:space="preserve"> </w:t>
            </w:r>
            <w:r>
              <w:t xml:space="preserve">“Where is bread and wine?”</w:t>
            </w:r>
            <w:r>
              <w:t xml:space="preserve"> </w:t>
            </w:r>
            <w:r>
              <w:t xml:space="preserve">— faint like the wounded; soul poured out in their mothers’ bosom</w:t>
            </w:r>
          </w:p>
        </w:tc>
        <w:tc>
          <w:tcPr/>
          <w:p>
            <w:pPr>
              <w:pStyle w:val="Compact"/>
            </w:pPr>
            <w:r>
              <w:t xml:space="preserve">The unbearable image: starving children dying in their mothers’ arms</w:t>
            </w:r>
          </w:p>
        </w:tc>
      </w:tr>
      <w:tr>
        <w:tc>
          <w:tcPr/>
          <w:p>
            <w:pPr>
              <w:pStyle w:val="Compact"/>
            </w:pPr>
            <w:r>
              <w:t xml:space="preserve">2:13</w:t>
            </w:r>
          </w:p>
        </w:tc>
        <w:tc>
          <w:tcPr/>
          <w:p>
            <w:pPr>
              <w:pStyle w:val="Compact"/>
            </w:pPr>
            <w:r>
              <w:t xml:space="preserve">“What can I say for you? To what compare you?”</w:t>
            </w:r>
            <w:r>
              <w:t xml:space="preserve"> </w:t>
            </w:r>
            <w:r>
              <w:t xml:space="preserve">— daughter Jerusalem’s breach is vast as the sea; who can heal you?</w:t>
            </w:r>
          </w:p>
        </w:tc>
        <w:tc>
          <w:tcPr/>
          <w:p>
            <w:pPr>
              <w:pStyle w:val="Compact"/>
            </w:pPr>
            <w:r>
              <w:t xml:space="preserve">The poet confesses his own inadequacy; the wound is beyond human remedy</w:t>
            </w:r>
          </w:p>
        </w:tc>
      </w:tr>
      <w:tr>
        <w:tc>
          <w:tcPr/>
          <w:p>
            <w:pPr>
              <w:pStyle w:val="Compact"/>
            </w:pPr>
            <w:r>
              <w:t xml:space="preserve">2:14</w:t>
            </w:r>
          </w:p>
        </w:tc>
        <w:tc>
          <w:tcPr/>
          <w:p>
            <w:pPr>
              <w:pStyle w:val="Compact"/>
            </w:pPr>
            <w:r>
              <w:t xml:space="preserve">Prophets saw false and deceptive visions; did not expose iniquity; saw oracles false and misleading</w:t>
            </w:r>
          </w:p>
        </w:tc>
        <w:tc>
          <w:tcPr/>
          <w:p>
            <w:pPr>
              <w:pStyle w:val="Compact"/>
            </w:pPr>
            <w:r>
              <w:t xml:space="preserve">The failure of the prophets named as a cause; a distinct and sobering sub-claim</w:t>
            </w:r>
          </w:p>
        </w:tc>
      </w:tr>
      <w:tr>
        <w:tc>
          <w:tcPr/>
          <w:p>
            <w:pPr>
              <w:pStyle w:val="Compact"/>
            </w:pPr>
            <w:r>
              <w:t xml:space="preserve">2:15</w:t>
            </w:r>
          </w:p>
        </w:tc>
        <w:tc>
          <w:tcPr/>
          <w:p>
            <w:pPr>
              <w:pStyle w:val="Compact"/>
            </w:pPr>
            <w:r>
              <w:t xml:space="preserve">All who pass by clap their hands at you; hiss and wag their heads at daughter Jerusalem —</w:t>
            </w:r>
            <w:r>
              <w:t xml:space="preserve"> </w:t>
            </w:r>
            <w:r>
              <w:t xml:space="preserve">“Is this the city called the perfection of beauty?”</w:t>
            </w:r>
          </w:p>
        </w:tc>
        <w:tc>
          <w:tcPr/>
          <w:p>
            <w:pPr>
              <w:pStyle w:val="Compact"/>
            </w:pPr>
            <w:r>
              <w:t xml:space="preserve">The enemy’s mockery; Jerusalem’s former glory now inverted</w:t>
            </w:r>
          </w:p>
        </w:tc>
      </w:tr>
      <w:tr>
        <w:tc>
          <w:tcPr/>
          <w:p>
            <w:pPr>
              <w:pStyle w:val="Compact"/>
            </w:pPr>
            <w:r>
              <w:t xml:space="preserve">2:16</w:t>
            </w:r>
          </w:p>
        </w:tc>
        <w:tc>
          <w:tcPr/>
          <w:p>
            <w:pPr>
              <w:pStyle w:val="Compact"/>
            </w:pPr>
            <w:r>
              <w:t xml:space="preserve">Enemies open their mouths against her; hiss and gnash their teeth; they say,</w:t>
            </w:r>
            <w:r>
              <w:t xml:space="preserve"> </w:t>
            </w:r>
            <w:r>
              <w:t xml:space="preserve">“We have swallowed her. Ah, this is the day we longed for; now we have found it, now we have seen it”</w:t>
            </w:r>
          </w:p>
        </w:tc>
        <w:tc>
          <w:tcPr/>
          <w:p>
            <w:pPr>
              <w:pStyle w:val="Compact"/>
            </w:pPr>
            <w:r>
              <w:t xml:space="preserve">Enemy gloating — but it is the LORD who is the true agent, not the enemy’s strength</w:t>
            </w:r>
          </w:p>
        </w:tc>
      </w:tr>
      <w:tr>
        <w:tc>
          <w:tcPr/>
          <w:p>
            <w:pPr>
              <w:pStyle w:val="Compact"/>
            </w:pPr>
            <w:r>
              <w:t xml:space="preserve">2:17</w:t>
            </w:r>
          </w:p>
        </w:tc>
        <w:tc>
          <w:tcPr/>
          <w:p>
            <w:pPr>
              <w:pStyle w:val="Compact"/>
            </w:pPr>
            <w:r>
              <w:t xml:space="preserve">The LORD has done what He purposed; fulfilled His word commanded from days of old; thrown down without pity; made the enemy rejoice</w:t>
            </w:r>
          </w:p>
        </w:tc>
        <w:tc>
          <w:tcPr/>
          <w:p>
            <w:pPr>
              <w:pStyle w:val="Compact"/>
            </w:pPr>
            <w:r>
              <w:t xml:space="preserve">The theological verdict: this was not enemy victory — it was divine word-fulfillment</w:t>
            </w:r>
          </w:p>
        </w:tc>
      </w:tr>
      <w:tr>
        <w:tc>
          <w:tcPr/>
          <w:p>
            <w:pPr>
              <w:pStyle w:val="Compact"/>
            </w:pPr>
            <w:r>
              <w:t xml:space="preserve">2:18</w:t>
            </w:r>
          </w:p>
        </w:tc>
        <w:tc>
          <w:tcPr/>
          <w:p>
            <w:pPr>
              <w:pStyle w:val="Compact"/>
            </w:pPr>
            <w:r>
              <w:t xml:space="preserve">Their heart cried to the LORD; O wall of daughter Zion, let tears run down; give yourself no rest; let your eyes have no respite</w:t>
            </w:r>
          </w:p>
        </w:tc>
        <w:tc>
          <w:tcPr/>
          <w:p>
            <w:pPr>
              <w:pStyle w:val="Compact"/>
            </w:pPr>
            <w:r>
              <w:t xml:space="preserve">The turn: the cry is directed to the LORD — this is the chapter’s hinge</w:t>
            </w:r>
          </w:p>
        </w:tc>
      </w:tr>
      <w:tr>
        <w:tc>
          <w:tcPr/>
          <w:p>
            <w:pPr>
              <w:pStyle w:val="Compact"/>
            </w:pPr>
            <w:r>
              <w:t xml:space="preserve">2:19</w:t>
            </w:r>
          </w:p>
        </w:tc>
        <w:tc>
          <w:tcPr/>
          <w:p>
            <w:pPr>
              <w:pStyle w:val="Compact"/>
            </w:pPr>
            <w:r>
              <w:t xml:space="preserve">Rise, cry out in the night; pour out your heart like water before the presence of the LORD; lift your hands toward Him for the lives of your children</w:t>
            </w:r>
          </w:p>
        </w:tc>
        <w:tc>
          <w:tcPr/>
          <w:p>
            <w:pPr>
              <w:pStyle w:val="Compact"/>
            </w:pPr>
            <w:r>
              <w:t xml:space="preserve">The command to lament — explicit, urgent, directed;</w:t>
            </w:r>
            <w:r>
              <w:t xml:space="preserve"> </w:t>
            </w:r>
            <w:r>
              <w:t xml:space="preserve">“like water”</w:t>
            </w:r>
            <w:r>
              <w:t xml:space="preserve"> </w:t>
            </w:r>
            <w:r>
              <w:t xml:space="preserve">= total, unguarded outpouring</w:t>
            </w:r>
          </w:p>
        </w:tc>
      </w:tr>
      <w:tr>
        <w:tc>
          <w:tcPr/>
          <w:p>
            <w:pPr>
              <w:pStyle w:val="Compact"/>
            </w:pPr>
            <w:r>
              <w:t xml:space="preserve">2:20</w:t>
            </w:r>
          </w:p>
        </w:tc>
        <w:tc>
          <w:tcPr/>
          <w:p>
            <w:pPr>
              <w:pStyle w:val="Compact"/>
            </w:pPr>
            <w:r>
              <w:t xml:space="preserve">“Look, O LORD, and see! With whom have You dealt thus? Should women eat the fruit of their womb, the children of their tender care?”</w:t>
            </w:r>
          </w:p>
        </w:tc>
        <w:tc>
          <w:tcPr/>
          <w:p>
            <w:pPr>
              <w:pStyle w:val="Compact"/>
            </w:pPr>
            <w:r>
              <w:t xml:space="preserve">Zion’s direct address begins; accusatory, honest, presenting the suffering directly to God</w:t>
            </w:r>
          </w:p>
        </w:tc>
      </w:tr>
      <w:tr>
        <w:tc>
          <w:tcPr/>
          <w:p>
            <w:pPr>
              <w:pStyle w:val="Compact"/>
            </w:pPr>
            <w:r>
              <w:t xml:space="preserve">2:21</w:t>
            </w:r>
          </w:p>
        </w:tc>
        <w:tc>
          <w:tcPr/>
          <w:p>
            <w:pPr>
              <w:pStyle w:val="Compact"/>
            </w:pPr>
            <w:r>
              <w:t xml:space="preserve">Young and old lie on the ground in the streets; virgins and young men fallen by the sword; You have killed them in the day of Your anger</w:t>
            </w:r>
          </w:p>
        </w:tc>
        <w:tc>
          <w:tcPr/>
          <w:p>
            <w:pPr>
              <w:pStyle w:val="Compact"/>
            </w:pPr>
            <w:r>
              <w:t xml:space="preserve">The attribution returned to the LORD:</w:t>
            </w:r>
            <w:r>
              <w:t xml:space="preserve"> </w:t>
            </w:r>
            <w:r>
              <w:t xml:space="preserve">“You have killed them”</w:t>
            </w:r>
            <w:r>
              <w:t xml:space="preserve"> </w:t>
            </w:r>
            <w:r>
              <w:t xml:space="preserve">— no euphemism</w:t>
            </w:r>
          </w:p>
        </w:tc>
      </w:tr>
      <w:tr>
        <w:tc>
          <w:tcPr/>
          <w:p>
            <w:pPr>
              <w:pStyle w:val="Compact"/>
            </w:pPr>
            <w:r>
              <w:t xml:space="preserve">2:22</w:t>
            </w:r>
          </w:p>
        </w:tc>
        <w:tc>
          <w:tcPr/>
          <w:p>
            <w:pPr>
              <w:pStyle w:val="Compact"/>
            </w:pPr>
            <w:r>
              <w:t xml:space="preserve">“You summoned as if to a feast day my terrors on every side; in the day of the LORD’s anger, none escaped or survived; those I bore and raised my enemy has destroyed”</w:t>
            </w:r>
          </w:p>
        </w:tc>
        <w:tc>
          <w:tcPr/>
          <w:p>
            <w:pPr>
              <w:pStyle w:val="Compact"/>
            </w:pPr>
            <w:r>
              <w:t xml:space="preserve">Closing image: the feast day of judgment; children destroyed; the poem ends without resolution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2:1–10</w:t>
            </w:r>
          </w:p>
        </w:tc>
        <w:tc>
          <w:tcPr/>
          <w:p>
            <w:pPr>
              <w:pStyle w:val="Compact"/>
            </w:pPr>
            <w:r>
              <w:t xml:space="preserve">The LORD as Agent: The Systematic Dismantling of Zion</w:t>
            </w:r>
          </w:p>
        </w:tc>
      </w:tr>
      <w:tr>
        <w:tc>
          <w:tcPr/>
          <w:p>
            <w:pPr>
              <w:pStyle w:val="Compact"/>
            </w:pPr>
            <w:r>
              <w:t xml:space="preserve">2</w:t>
            </w:r>
          </w:p>
        </w:tc>
        <w:tc>
          <w:tcPr/>
          <w:p>
            <w:pPr>
              <w:pStyle w:val="Compact"/>
            </w:pPr>
            <w:r>
              <w:t xml:space="preserve">2:11–17</w:t>
            </w:r>
          </w:p>
        </w:tc>
        <w:tc>
          <w:tcPr/>
          <w:p>
            <w:pPr>
              <w:pStyle w:val="Compact"/>
            </w:pPr>
            <w:r>
              <w:t xml:space="preserve">The Poet as Witness: Grief, Failure of the Prophets, and Divine Verdict</w:t>
            </w:r>
          </w:p>
        </w:tc>
      </w:tr>
      <w:tr>
        <w:tc>
          <w:tcPr/>
          <w:p>
            <w:pPr>
              <w:pStyle w:val="Compact"/>
            </w:pPr>
            <w:r>
              <w:t xml:space="preserve">3</w:t>
            </w:r>
          </w:p>
        </w:tc>
        <w:tc>
          <w:tcPr/>
          <w:p>
            <w:pPr>
              <w:pStyle w:val="Compact"/>
            </w:pPr>
            <w:r>
              <w:t xml:space="preserve">2:18–19</w:t>
            </w:r>
          </w:p>
        </w:tc>
        <w:tc>
          <w:tcPr/>
          <w:p>
            <w:pPr>
              <w:pStyle w:val="Compact"/>
            </w:pPr>
            <w:r>
              <w:t xml:space="preserve">The Command to Lament: Pour Out Your Heart to the LORD</w:t>
            </w:r>
          </w:p>
        </w:tc>
      </w:tr>
      <w:tr>
        <w:tc>
          <w:tcPr/>
          <w:p>
            <w:pPr>
              <w:pStyle w:val="Compact"/>
            </w:pPr>
            <w:r>
              <w:t xml:space="preserve">4</w:t>
            </w:r>
          </w:p>
        </w:tc>
        <w:tc>
          <w:tcPr/>
          <w:p>
            <w:pPr>
              <w:pStyle w:val="Compact"/>
            </w:pPr>
            <w:r>
              <w:t xml:space="preserve">2:20–22</w:t>
            </w:r>
          </w:p>
        </w:tc>
        <w:tc>
          <w:tcPr/>
          <w:p>
            <w:pPr>
              <w:pStyle w:val="Compact"/>
            </w:pPr>
            <w:r>
              <w:t xml:space="preserve">Zion’s Cry: Direct Address to God in the Ruins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Himself has brought the judgment — and must Himself become the only refuge left.</w:t>
      </w:r>
    </w:p>
    <w:p>
      <w:pPr>
        <w:pStyle w:val="BodyText"/>
      </w:pPr>
      <w:r>
        <w:rPr>
          <w:b/>
          <w:bCs/>
        </w:rPr>
        <w:t xml:space="preserve">Primary Claim:</w:t>
      </w:r>
      <w:r>
        <w:t xml:space="preserve"> </w:t>
      </w:r>
      <w:r>
        <w:t xml:space="preserve">God draws His people through the shattering recognition that He is the agent of their judgment so that, with nowhere else to turn, they address their full and honest grief directly to Him — and find that He is precisely the One who receives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explaining your suffering in terms that leave God out of it.</w:t>
      </w:r>
      <w:r>
        <w:t xml:space="preserve"> </w:t>
      </w:r>
      <w:r>
        <w:rPr>
          <w:i/>
          <w:iCs/>
        </w:rPr>
        <w:t xml:space="preserve">(Mind/belief)</w:t>
      </w:r>
      <w:r>
        <w:t xml:space="preserve"> </w:t>
      </w:r>
      <w:r>
        <w:t xml:space="preserve">Lamentations 2 opens with a theological argument most modern readers resist: the LORD did this. Not the Babylonians. Not bad luck. Not a confluence of historical forces. The LORD. The poem insists on this attribution not to terrify but to clarify — because suffering whose cause is named wrong cannot be taken to the right party for help. Where have you been explaining your suffering in ways that leave God at the periphery or outside the room entirely? The text calls you to the harder, truer work: naming the LORD as the one with whom you have to do, even in — especially in — the disaster you did not choose and cannot understand.</w:t>
      </w:r>
    </w:p>
    <w:p>
      <w:pPr>
        <w:pStyle w:val="BodyText"/>
      </w:pPr>
      <w:r>
        <w:rPr>
          <w:b/>
          <w:bCs/>
        </w:rPr>
        <w:t xml:space="preserve">2. Bring your grief to God in the form it actually comes, not in the form you think is acceptable.</w:t>
      </w:r>
      <w:r>
        <w:t xml:space="preserve"> </w:t>
      </w:r>
      <w:r>
        <w:rPr>
          <w:i/>
          <w:iCs/>
        </w:rPr>
        <w:t xml:space="preserve">(Affections/worship)</w:t>
      </w:r>
      <w:r>
        <w:t xml:space="preserve"> </w:t>
      </w:r>
      <w:r>
        <w:t xml:space="preserve">Verse 19 does not say</w:t>
      </w:r>
      <w:r>
        <w:t xml:space="preserve"> </w:t>
      </w:r>
      <w:r>
        <w:t xml:space="preserve">“gently mention your concerns to the LORD.”</w:t>
      </w:r>
      <w:r>
        <w:t xml:space="preserve"> </w:t>
      </w:r>
      <w:r>
        <w:t xml:space="preserve">It says pour out your heart like water — an image of total, uncontrolled outpouring, nothing held back. The poet’s own cry in verse 11 includes bile, churning bowels, spent eyes — the full bodily register of grief. Zion’s cry in verse 20 is accusatory:</w:t>
      </w:r>
      <w:r>
        <w:t xml:space="preserve"> </w:t>
      </w:r>
      <w:r>
        <w:t xml:space="preserve">“Look, O LORD, and see! With whom have You dealt thus?”</w:t>
      </w:r>
      <w:r>
        <w:t xml:space="preserve"> </w:t>
      </w:r>
      <w:r>
        <w:t xml:space="preserve">None of this is edited for reverence. The text gives explicit permission for the full, unfiltered, even accusatory cry to be brought directly before God’s face. The application is not to manufacture such grief, but to stop suppressing it when it is already present. God is not fragile. He receives what is real.</w:t>
      </w:r>
    </w:p>
    <w:p>
      <w:pPr>
        <w:pStyle w:val="BodyText"/>
      </w:pPr>
      <w:r>
        <w:rPr>
          <w:b/>
          <w:bCs/>
        </w:rPr>
        <w:t xml:space="preserve">3. Examine whether the voices you trust are telling you what you need to hear, or only what you want to hear.</w:t>
      </w:r>
      <w:r>
        <w:t xml:space="preserve"> </w:t>
      </w:r>
      <w:r>
        <w:rPr>
          <w:i/>
          <w:iCs/>
        </w:rPr>
        <w:t xml:space="preserve">(Mind/belief)</w:t>
      </w:r>
      <w:r>
        <w:t xml:space="preserve"> </w:t>
      </w:r>
      <w:r>
        <w:t xml:space="preserve">Verse 14 stands as one of the most sobering indictments in the Old Testament: the prophets saw false visions and did not expose iniquity. They did not tell Jerusalem the truth about its condition — and the result was catastrophe that might otherwise have been averted by repentance. The application is not primarily about the prophets of ancient Judah. It is about the voices that shape your understanding of your own condition: the teachers, counselors, communities, and media that either tell you the truth about sin and judgment or confirm what you already want to believe. The question is sharp and personal — who in your life is willing to say what verse 14’s prophets refused to say? And are you willing to hear it?</w:t>
      </w:r>
    </w:p>
    <w:p>
      <w:pPr>
        <w:pStyle w:val="BodyText"/>
      </w:pPr>
      <w:r>
        <w:rPr>
          <w:b/>
          <w:bCs/>
        </w:rPr>
        <w:t xml:space="preserve">4. In the ruins of what you most trusted, cry out to the LORD rather than falling silent.</w:t>
      </w:r>
      <w:r>
        <w:t xml:space="preserve"> </w:t>
      </w:r>
      <w:r>
        <w:rPr>
          <w:i/>
          <w:iCs/>
        </w:rPr>
        <w:t xml:space="preserve">(Will/behavior)</w:t>
      </w:r>
      <w:r>
        <w:t xml:space="preserve"> </w:t>
      </w:r>
      <w:r>
        <w:t xml:space="preserve">Verses 18–19 contain an explicit command: rise, cry out in the night, pour out your heart, give yourself no rest. The chapter does not conclude with a call to acceptance, stoic endurance, or quiet waiting. It calls for active, vocal, persistent address to God across the night watches. The walls of Jerusalem are commanded to weep. Zion is commanded to cry. The application is concrete: when loss is comprehensive — when the institutions, relationships, and structures you counted on have collapsed — the response God calls for is not dignified silence but urgent, persistent, voice-in-the-night prayer. What grief have you swallowed into dignified silence that belongs instead in the night watches before the LORD?</w:t>
      </w:r>
    </w:p>
    <w:p>
      <w:pPr>
        <w:pStyle w:val="BodyText"/>
      </w:pPr>
      <w:r>
        <w:rPr>
          <w:b/>
          <w:bCs/>
        </w:rPr>
        <w:t xml:space="preserve">5. Trust that the God who is sovereign over your judgment is the same God whose covenant cannot finally be undone.</w:t>
      </w:r>
      <w:r>
        <w:t xml:space="preserve"> </w:t>
      </w:r>
      <w:r>
        <w:rPr>
          <w:i/>
          <w:iCs/>
        </w:rPr>
        <w:t xml:space="preserve">(Affections/worship)</w:t>
      </w:r>
      <w:r>
        <w:t xml:space="preserve"> </w:t>
      </w:r>
      <w:r>
        <w:t xml:space="preserve">The chapter ends without resolution — verse 22 closes in grief, not comfort. But the chapter does not exist in a vacuum: it is followed by chapter 3, where</w:t>
      </w:r>
      <w:r>
        <w:t xml:space="preserve"> </w:t>
      </w:r>
      <w:r>
        <w:t xml:space="preserve">“the steadfast love of the LORD never ceases”</w:t>
      </w:r>
      <w:r>
        <w:t xml:space="preserve"> </w:t>
      </w:r>
      <w:r>
        <w:t xml:space="preserve">(3:22) will emerge from the same rubble. The application is not to import that hope artificially into chapter 2 but to recognize that the God who is named as the agent of judgment in verses 1–17 is the same God to whom the lament is directed in verses 18–22. If He did this, He can also undo it. Sovereignty over the destruction is sovereignty over the restoration. The application is the willingness to stake your ongoing posture of prayer on that logic — not because the grief is resolved, but because the God to whom you cry is not indifferent to what He has done.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Lamentations 2 makes an irreplaceable theological contribution: it demonstrates that divine sovereignty over judgment is not a threat to honest prayer but its very foundation. The chapter’s relentless attribution of destruction to the LORD is not a counsel of despair but the precondition for meaningful address to Him. A God who stands outside the catastrophe as a sympathetic observer is a God to whom there is no compelling reason to cry — He cannot help. But the God who bent the bow, poured out the wrath, and fulfilled His ancient word is the God who can, by the same sovereign authority, restore, relent, and act with covenant faithfulness. The passage also establishes that the full range of human grief — visceral, accusatory, apparently irresoluble — is not merely permitted in the presence of God but is the form that faithful prayer takes when circumstances are most extreme. This is not sentimentalism; it is covenantal realism.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Within Reformed theology, Lamentations 2 performs a distinctive and underappreciated function: it grounds the lament tradition within a rigorously covenantal and sovereign framework, demonstrating that the God who acts in comprehensive providence — including the providence of judgment — is precisely the God to whom His people are bound by covenant and to whom their grief is rightly directed. The chapter resists every form of therapeutic deism (a God available to comfort but not implicated in suffering) and every form of fatalism (a God whose sovereignty silences prayer rather than soliciting it). The Reformed instinct that divine sovereignty is the ground of prayer, not its obstacle, is here confirmed in its most extreme test case: a people whose city, temple, king, and prophetic voice have all been destroyed by the LORD Himself. That they are commanded to cry — that Zion is summoned to pour out her heart like water — is the Reformed doctrine of prayer enacted under fire. The failure of the false prophets (v. 14) further confirms the Reformed insistence on faithful, uncompromising proclamation of the whole counsel of God, including the covenant’s warnings of judgment, as genuine pastoral care.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lost control of what has broken you — He is the agent of it, which means He is also the only One with authority to restore it. The only move available in the ruins is the move the text commands: rise in the night, pour out your heart like water, put your grief directly in front of His face, and do not stop. He is not the God who stands at a sympathetic distance from suffering — He is the God who receives the accusatory, unfiltered, sleepless cry of His people and calls it prayer.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primarily about historical grief rather than a present grammar of prayer.</w:t>
      </w:r>
      <w:r>
        <w:t xml:space="preserve"> </w:t>
      </w:r>
      <w:r>
        <w:t xml:space="preserve">Lamentations 2 is regularly handled as an account of what ancient Judah felt when Jerusalem fell — a historical curiosity or a lesson in consequences. This misses the chapter’s immediate homiletical force. The text is prescriptive, not just descriptive: it is teaching the reader how to pray when everything has collapsed. Sermons or studies that remain in the historical register fail to deliver the chapter’s actual claim to present hearers.</w:t>
      </w:r>
    </w:p>
    <w:p>
      <w:pPr>
        <w:numPr>
          <w:ilvl w:val="0"/>
          <w:numId w:val="1002"/>
        </w:numPr>
      </w:pPr>
      <w:r>
        <w:rPr>
          <w:b/>
          <w:bCs/>
        </w:rPr>
        <w:t xml:space="preserve">Skipping over or minimizing the attribution of destruction to God.</w:t>
      </w:r>
      <w:r>
        <w:t xml:space="preserve"> </w:t>
      </w:r>
      <w:r>
        <w:t xml:space="preserve">The chapter’s repeated identification of the LORD as the agent of judgment is uncomfortable and tempting to soften. Preachers sometimes move quickly to the lament-permission application (it is okay to grieve) without dwelling on the theological weight that makes that application coherent. The passage is not primarily about emotional permission — it is about theological honesty regarding divine agency. Getting there first is what gives the emotional permission its depth and its destination.</w:t>
      </w:r>
    </w:p>
    <w:p>
      <w:pPr>
        <w:numPr>
          <w:ilvl w:val="0"/>
          <w:numId w:val="1002"/>
        </w:numPr>
      </w:pPr>
      <w:r>
        <w:rPr>
          <w:b/>
          <w:bCs/>
        </w:rPr>
        <w:t xml:space="preserve">Reading the chapter’s lack of resolution as a deficiency to be corrected by premature application of chapter 3.</w:t>
      </w:r>
      <w:r>
        <w:t xml:space="preserve"> </w:t>
      </w:r>
      <w:r>
        <w:t xml:space="preserve">Lamentations 2 ends in grief. Verse 22 has no comfort attached to it. Preachers who feel the pressure to end with hope frequently import chapter 3’s</w:t>
      </w:r>
      <w:r>
        <w:t xml:space="preserve"> </w:t>
      </w:r>
      <w:r>
        <w:t xml:space="preserve">“steadfast love of the LORD never ceases”</w:t>
      </w:r>
      <w:r>
        <w:t xml:space="preserve"> </w:t>
      </w:r>
      <w:r>
        <w:t xml:space="preserve">into chapter 2 before the chapter has made its own case. This undercuts the very work the chapter does — it teaches the reader to stay in the grief long enough to address God honestly from within it. Resolution can be named as the trajectory, but chapter 2’s own unresolved ending should be honored.</w:t>
      </w:r>
    </w:p>
    <w:p>
      <w:pPr>
        <w:numPr>
          <w:ilvl w:val="0"/>
          <w:numId w:val="1002"/>
        </w:numPr>
      </w:pPr>
      <w:r>
        <w:rPr>
          <w:b/>
          <w:bCs/>
        </w:rPr>
        <w:t xml:space="preserve">Moralistic use of verse 14.</w:t>
      </w:r>
      <w:r>
        <w:t xml:space="preserve"> </w:t>
      </w:r>
      <w:r>
        <w:t xml:space="preserve">The indictment of the false prophets is frequently applied as a lesson about the importance of</w:t>
      </w:r>
      <w:r>
        <w:t xml:space="preserve"> </w:t>
      </w:r>
      <w:r>
        <w:t xml:space="preserve">“speaking truth”</w:t>
      </w:r>
      <w:r>
        <w:t xml:space="preserve"> </w:t>
      </w:r>
      <w:r>
        <w:t xml:space="preserve">in a general sense, or as a critique of softness in contemporary preaching. While these applications are not wrong, they are too thin. The verse is making a covenantal claim: when preachers suppress the word of judgment, they are complicit in the catastrophe that follows. The weight of the application is not rhetorical courage in general but the life-and-death stakes of faithful proclamation in particular.</w:t>
      </w:r>
    </w:p>
    <w:p>
      <w:pPr>
        <w:numPr>
          <w:ilvl w:val="0"/>
          <w:numId w:val="1002"/>
        </w:numPr>
      </w:pPr>
      <w:r>
        <w:rPr>
          <w:b/>
          <w:bCs/>
        </w:rPr>
        <w:t xml:space="preserve">Presenting lament as a stage to be passed through rather than a posture to be sustained.</w:t>
      </w:r>
      <w:r>
        <w:t xml:space="preserve"> </w:t>
      </w:r>
      <w:r>
        <w:t xml:space="preserve">The chapter commands lament — it does not promise that lament will quickly resolve into praise. Pastoral applications that treat Lamentations 2 as a permission slip to grieve for a season before moving to peace may inadvertently communicate that extended, unresolved grief is a failure of faith. The text gives no such timeline. It commands the night watch cry without specifying when morning comes. This must be honored in application, especially for hearers in prolonged and unresolved suffering.</w:t>
      </w:r>
    </w:p>
    <w:p>
      <w:pPr>
        <w:numPr>
          <w:ilvl w:val="0"/>
          <w:numId w:val="1002"/>
        </w:numPr>
      </w:pPr>
      <w:r>
        <w:rPr>
          <w:b/>
          <w:bCs/>
        </w:rPr>
        <w:t xml:space="preserve">Failing to distinguish between Zion’s accusatory cry and rebellion against God.</w:t>
      </w:r>
      <w:r>
        <w:t xml:space="preserve"> </w:t>
      </w:r>
      <w:r>
        <w:t xml:space="preserve">Verse 20’s</w:t>
      </w:r>
      <w:r>
        <w:t xml:space="preserve"> </w:t>
      </w:r>
      <w:r>
        <w:t xml:space="preserve">“Look, O LORD, and see! With whom have You dealt thus?”</w:t>
      </w:r>
      <w:r>
        <w:t xml:space="preserve"> </w:t>
      </w:r>
      <w:r>
        <w:t xml:space="preserve">can make cautious expositors nervous — it sounds like complaint against God. Conflating honest accusatory lament with sinful rebellion against God’s goodness is a recurring pitfall. The canonical lament tradition (Psalms 10, 22, 44, 88; Job; Habakkuk) establishes that direct, even challenging, address to God is not rebellion but its opposite — it is the insistence on holding God to His covenant character. The pitfall here is pastorally costly: hearers who most need permission to pray honestly are told implicitly that such prayer is barely acceptable, and so they fall silent or turn to safer but shallower substitutes.</w:t>
      </w:r>
    </w:p>
    <w:p>
      <w:r>
        <w:pict>
          <v:rect style="width:0;height:1.5pt" o:hralign="center" o:hrstd="t" o:hr="t"/>
        </w:pict>
      </w:r>
    </w:p>
    <w:p>
      <w:pPr>
        <w:pStyle w:val="FirstParagraph"/>
      </w:pPr>
      <w:r>
        <w:rPr>
          <w:i/>
          <w:iCs/>
        </w:rPr>
        <w:t xml:space="preserve">File: 25 Lamentations 02.docx — generated per CLAUDE2.md framework</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2026-07-14T21:06:13Z</dcterms:created>
  <dcterms:modified xsi:type="dcterms:W3CDTF">2026-07-14T21:06:13Z</dcterms:modified>
</cp:coreProperties>
</file>

<file path=docProps/custom.xml><?xml version="1.0" encoding="utf-8"?>
<Properties xmlns="http://schemas.openxmlformats.org/officeDocument/2006/custom-properties" xmlns:vt="http://schemas.openxmlformats.org/officeDocument/2006/docPropsVTypes"/>
</file>